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9C" w:rsidRDefault="00A5419C" w:rsidP="006B392A">
      <w:pPr>
        <w:spacing w:after="120" w:line="259" w:lineRule="auto"/>
        <w:ind w:left="0" w:firstLine="0"/>
        <w:jc w:val="left"/>
        <w:rPr>
          <w:sz w:val="22"/>
        </w:rPr>
      </w:pPr>
    </w:p>
    <w:p w:rsidR="00E14290" w:rsidRDefault="006B392A" w:rsidP="006B392A">
      <w:pPr>
        <w:spacing w:after="120" w:line="259" w:lineRule="auto"/>
        <w:ind w:left="0" w:firstLine="0"/>
        <w:jc w:val="left"/>
      </w:pPr>
      <w:r>
        <w:rPr>
          <w:sz w:val="22"/>
        </w:rPr>
        <w:t xml:space="preserve"> </w:t>
      </w:r>
      <w:r>
        <w:rPr>
          <w:b/>
        </w:rPr>
        <w:t xml:space="preserve">SATIN ALMA PROSEDÜRÜ  </w:t>
      </w:r>
    </w:p>
    <w:p w:rsidR="00E14290" w:rsidRDefault="006B392A">
      <w:pPr>
        <w:pStyle w:val="Balk1"/>
        <w:numPr>
          <w:ilvl w:val="0"/>
          <w:numId w:val="0"/>
        </w:numPr>
        <w:ind w:left="228"/>
      </w:pPr>
      <w:r>
        <w:t xml:space="preserve">1.Amaç </w:t>
      </w:r>
    </w:p>
    <w:p w:rsidR="00E14290" w:rsidRDefault="006B392A">
      <w:pPr>
        <w:spacing w:after="18" w:line="259" w:lineRule="auto"/>
        <w:ind w:left="0" w:firstLine="0"/>
        <w:jc w:val="left"/>
      </w:pPr>
      <w:r>
        <w:rPr>
          <w:b/>
        </w:rPr>
        <w:t xml:space="preserve"> </w:t>
      </w:r>
    </w:p>
    <w:p w:rsidR="00E14290" w:rsidRPr="00431AE2" w:rsidRDefault="006B392A">
      <w:pPr>
        <w:spacing w:after="7"/>
        <w:ind w:right="8"/>
        <w:rPr>
          <w:color w:val="auto"/>
        </w:rPr>
      </w:pPr>
      <w:r w:rsidRPr="00431AE2">
        <w:rPr>
          <w:color w:val="auto"/>
        </w:rPr>
        <w:t xml:space="preserve">Bu </w:t>
      </w:r>
      <w:proofErr w:type="gramStart"/>
      <w:r w:rsidRPr="00431AE2">
        <w:rPr>
          <w:color w:val="auto"/>
        </w:rPr>
        <w:t>prosedürün</w:t>
      </w:r>
      <w:proofErr w:type="gramEnd"/>
      <w:r w:rsidRPr="00431AE2">
        <w:rPr>
          <w:color w:val="auto"/>
        </w:rPr>
        <w:t xml:space="preserve"> amacı, yapılan bütün satın alma süreçlerine ait yöntem ve sorumlulukları belirlemektir. </w:t>
      </w:r>
    </w:p>
    <w:p w:rsidR="00E14290" w:rsidRPr="00431AE2" w:rsidRDefault="006B392A">
      <w:pPr>
        <w:spacing w:after="0" w:line="259" w:lineRule="auto"/>
        <w:ind w:left="0" w:firstLine="0"/>
        <w:jc w:val="left"/>
        <w:rPr>
          <w:color w:val="auto"/>
        </w:rPr>
      </w:pPr>
      <w:r w:rsidRPr="00431AE2">
        <w:rPr>
          <w:color w:val="auto"/>
        </w:rPr>
        <w:t xml:space="preserve"> </w:t>
      </w:r>
    </w:p>
    <w:p w:rsidR="00E14290" w:rsidRPr="00431AE2" w:rsidRDefault="006B392A" w:rsidP="00A0324B">
      <w:pPr>
        <w:pStyle w:val="Balk1"/>
        <w:ind w:left="458" w:hanging="240"/>
        <w:rPr>
          <w:color w:val="auto"/>
        </w:rPr>
      </w:pPr>
      <w:r w:rsidRPr="00431AE2">
        <w:rPr>
          <w:color w:val="auto"/>
        </w:rPr>
        <w:t xml:space="preserve">Kapsam </w:t>
      </w:r>
    </w:p>
    <w:p w:rsidR="00E14290" w:rsidRPr="00431AE2" w:rsidRDefault="006B392A" w:rsidP="006B392A">
      <w:pPr>
        <w:ind w:right="8"/>
        <w:rPr>
          <w:color w:val="auto"/>
        </w:rPr>
      </w:pPr>
      <w:r w:rsidRPr="00431AE2">
        <w:rPr>
          <w:color w:val="auto"/>
        </w:rPr>
        <w:t xml:space="preserve">Bu </w:t>
      </w:r>
      <w:proofErr w:type="gramStart"/>
      <w:r w:rsidRPr="00431AE2">
        <w:rPr>
          <w:color w:val="auto"/>
        </w:rPr>
        <w:t>prosedür</w:t>
      </w:r>
      <w:proofErr w:type="gramEnd"/>
      <w:r w:rsidR="00654581" w:rsidRPr="00431AE2">
        <w:rPr>
          <w:color w:val="auto"/>
        </w:rPr>
        <w:t xml:space="preserve">, Kayseri Üniversitesi </w:t>
      </w:r>
      <w:r w:rsidR="009760E6">
        <w:rPr>
          <w:color w:val="auto"/>
        </w:rPr>
        <w:t xml:space="preserve">Safiye Çıkrıkçıoğlu </w:t>
      </w:r>
      <w:proofErr w:type="spellStart"/>
      <w:r w:rsidR="009760E6">
        <w:rPr>
          <w:color w:val="auto"/>
        </w:rPr>
        <w:t>MYO’daki</w:t>
      </w:r>
      <w:proofErr w:type="spellEnd"/>
      <w:r w:rsidRPr="00431AE2">
        <w:rPr>
          <w:color w:val="auto"/>
        </w:rPr>
        <w:t xml:space="preserve"> gerek doğrudan temin gerekse ihale usulü ile temin edecekleri mal ve hizmet alımlarını kapsar.  </w:t>
      </w:r>
      <w:bookmarkStart w:id="0" w:name="_GoBack"/>
      <w:bookmarkEnd w:id="0"/>
    </w:p>
    <w:p w:rsidR="00E14290" w:rsidRPr="00431AE2" w:rsidRDefault="006B392A">
      <w:pPr>
        <w:pStyle w:val="Balk1"/>
        <w:ind w:left="458" w:hanging="240"/>
        <w:rPr>
          <w:color w:val="auto"/>
        </w:rPr>
      </w:pPr>
      <w:r w:rsidRPr="00431AE2">
        <w:rPr>
          <w:color w:val="auto"/>
        </w:rPr>
        <w:t xml:space="preserve">Tanımlar </w:t>
      </w:r>
    </w:p>
    <w:p w:rsidR="00E14290" w:rsidRPr="00431AE2" w:rsidRDefault="006B392A">
      <w:pPr>
        <w:spacing w:after="0" w:line="259" w:lineRule="auto"/>
        <w:ind w:left="0" w:firstLine="0"/>
        <w:jc w:val="left"/>
        <w:rPr>
          <w:color w:val="auto"/>
        </w:rPr>
      </w:pPr>
      <w:r w:rsidRPr="00431AE2">
        <w:rPr>
          <w:b/>
          <w:color w:val="auto"/>
        </w:rPr>
        <w:t xml:space="preserve"> </w:t>
      </w:r>
    </w:p>
    <w:p w:rsidR="00E14290" w:rsidRPr="00431AE2" w:rsidRDefault="006B392A">
      <w:pPr>
        <w:ind w:right="8"/>
        <w:rPr>
          <w:color w:val="auto"/>
        </w:rPr>
      </w:pPr>
      <w:r w:rsidRPr="00431AE2">
        <w:rPr>
          <w:color w:val="auto"/>
        </w:rPr>
        <w:t xml:space="preserve">4734 sayılı Kamu İhale Kanunu ve 4735 sayılı Kamu İhaleleri Sözleşmeleri Kanunundaki tanımlar geçerlidir. </w:t>
      </w:r>
    </w:p>
    <w:p w:rsidR="00E14290" w:rsidRPr="00431AE2" w:rsidRDefault="006B392A">
      <w:pPr>
        <w:spacing w:after="0" w:line="259" w:lineRule="auto"/>
        <w:ind w:left="0" w:firstLine="0"/>
        <w:jc w:val="left"/>
        <w:rPr>
          <w:color w:val="auto"/>
        </w:rPr>
      </w:pPr>
      <w:r w:rsidRPr="00431AE2">
        <w:rPr>
          <w:color w:val="auto"/>
        </w:rPr>
        <w:t xml:space="preserve"> </w:t>
      </w:r>
    </w:p>
    <w:p w:rsidR="00E14290" w:rsidRPr="00431AE2" w:rsidRDefault="006B392A" w:rsidP="00A0324B">
      <w:pPr>
        <w:pStyle w:val="Balk1"/>
        <w:ind w:left="458" w:hanging="240"/>
        <w:rPr>
          <w:color w:val="auto"/>
        </w:rPr>
      </w:pPr>
      <w:r w:rsidRPr="00431AE2">
        <w:rPr>
          <w:color w:val="auto"/>
        </w:rPr>
        <w:t xml:space="preserve">Sorumluluklar </w:t>
      </w:r>
    </w:p>
    <w:p w:rsidR="00A0324B" w:rsidRPr="00091F76" w:rsidRDefault="00A0324B" w:rsidP="00A0324B">
      <w:pPr>
        <w:rPr>
          <w:color w:val="FF0000"/>
        </w:rPr>
      </w:pPr>
    </w:p>
    <w:p w:rsidR="00E14290" w:rsidRDefault="006B392A">
      <w:pPr>
        <w:ind w:right="8"/>
      </w:pPr>
      <w:r>
        <w:t xml:space="preserve">Harcama yetkilisi, gerçekleştirme görevlisi ve satın alma mutemetleri kanunlarda belirtildiği şekilde </w:t>
      </w:r>
      <w:proofErr w:type="gramStart"/>
      <w:r>
        <w:t>prosedürün</w:t>
      </w:r>
      <w:proofErr w:type="gramEnd"/>
      <w:r>
        <w:t xml:space="preserve"> ilgili bölümlerinden sorumludur. </w:t>
      </w:r>
    </w:p>
    <w:p w:rsidR="00E14290" w:rsidRDefault="006B392A">
      <w:pPr>
        <w:spacing w:after="0" w:line="259" w:lineRule="auto"/>
        <w:ind w:left="0" w:firstLine="0"/>
        <w:jc w:val="left"/>
      </w:pPr>
      <w:r>
        <w:t xml:space="preserve"> </w:t>
      </w:r>
    </w:p>
    <w:p w:rsidR="00E14290" w:rsidRDefault="006B392A">
      <w:pPr>
        <w:pStyle w:val="Balk1"/>
        <w:ind w:left="458" w:hanging="240"/>
      </w:pPr>
      <w:r>
        <w:t xml:space="preserve">Uygulama </w:t>
      </w:r>
    </w:p>
    <w:tbl>
      <w:tblPr>
        <w:tblStyle w:val="TableGrid"/>
        <w:tblpPr w:vertAnchor="page" w:horzAnchor="page" w:tblpX="1015" w:tblpY="146"/>
        <w:tblOverlap w:val="never"/>
        <w:tblW w:w="10032" w:type="dxa"/>
        <w:tblInd w:w="0" w:type="dxa"/>
        <w:tblCellMar>
          <w:top w:w="6" w:type="dxa"/>
          <w:left w:w="5" w:type="dxa"/>
          <w:right w:w="58" w:type="dxa"/>
        </w:tblCellMar>
        <w:tblLook w:val="04A0" w:firstRow="1" w:lastRow="0" w:firstColumn="1" w:lastColumn="0" w:noHBand="0" w:noVBand="1"/>
      </w:tblPr>
      <w:tblGrid>
        <w:gridCol w:w="1811"/>
        <w:gridCol w:w="5313"/>
        <w:gridCol w:w="1548"/>
        <w:gridCol w:w="1360"/>
      </w:tblGrid>
      <w:tr w:rsidR="00E14290" w:rsidTr="00A5419C">
        <w:trPr>
          <w:trHeight w:val="217"/>
        </w:trPr>
        <w:tc>
          <w:tcPr>
            <w:tcW w:w="1811" w:type="dxa"/>
            <w:vMerge w:val="restart"/>
            <w:tcBorders>
              <w:top w:val="single" w:sz="4" w:space="0" w:color="000000"/>
              <w:left w:val="single" w:sz="4" w:space="0" w:color="000000"/>
              <w:bottom w:val="single" w:sz="4" w:space="0" w:color="000000"/>
              <w:right w:val="single" w:sz="4" w:space="0" w:color="000000"/>
            </w:tcBorders>
            <w:vAlign w:val="bottom"/>
          </w:tcPr>
          <w:p w:rsidR="00E14290" w:rsidRDefault="006B392A">
            <w:pPr>
              <w:spacing w:after="0" w:line="259" w:lineRule="auto"/>
              <w:ind w:left="0" w:firstLine="0"/>
              <w:jc w:val="right"/>
            </w:pPr>
            <w:r>
              <w:rPr>
                <w:noProof/>
                <w:sz w:val="20"/>
              </w:rPr>
              <w:drawing>
                <wp:inline distT="0" distB="0" distL="0" distR="0" wp14:anchorId="6DCD1CCD">
                  <wp:extent cx="1103630" cy="1103630"/>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sz w:val="20"/>
              </w:rPr>
              <w:t xml:space="preserve"> </w:t>
            </w:r>
          </w:p>
        </w:tc>
        <w:tc>
          <w:tcPr>
            <w:tcW w:w="5313" w:type="dxa"/>
            <w:vMerge w:val="restart"/>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46"/>
              </w:rPr>
              <w:t xml:space="preserve"> </w:t>
            </w:r>
          </w:p>
          <w:p w:rsidR="00240DEF" w:rsidRDefault="006B392A">
            <w:pPr>
              <w:spacing w:after="0" w:line="259" w:lineRule="auto"/>
              <w:ind w:left="44" w:firstLine="0"/>
              <w:jc w:val="center"/>
              <w:rPr>
                <w:b/>
                <w:sz w:val="32"/>
              </w:rPr>
            </w:pPr>
            <w:r>
              <w:rPr>
                <w:b/>
                <w:sz w:val="32"/>
              </w:rPr>
              <w:t xml:space="preserve">SATIN ALMA PROSEDÜRÜ </w:t>
            </w:r>
            <w:r w:rsidR="00240DEF">
              <w:rPr>
                <w:b/>
                <w:sz w:val="32"/>
              </w:rPr>
              <w:t xml:space="preserve">         </w:t>
            </w:r>
          </w:p>
          <w:p w:rsidR="00E14290" w:rsidRPr="00240DEF" w:rsidRDefault="00240DEF">
            <w:pPr>
              <w:spacing w:after="0" w:line="259" w:lineRule="auto"/>
              <w:ind w:left="44" w:firstLine="0"/>
              <w:jc w:val="center"/>
              <w:rPr>
                <w:sz w:val="28"/>
                <w:szCs w:val="28"/>
              </w:rPr>
            </w:pPr>
            <w:r w:rsidRPr="00240DEF">
              <w:rPr>
                <w:b/>
                <w:sz w:val="28"/>
                <w:szCs w:val="28"/>
              </w:rPr>
              <w:t>SAFİYE ÇIKRIKÇIOĞLU MYO</w:t>
            </w: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Doküman No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rsidTr="00A5419C">
        <w:trPr>
          <w:trHeight w:val="215"/>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İlk Yayın Tarihi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rsidTr="00A5419C">
        <w:trPr>
          <w:trHeight w:val="217"/>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Tarihi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0" w:firstLine="0"/>
              <w:jc w:val="left"/>
            </w:pPr>
          </w:p>
        </w:tc>
      </w:tr>
      <w:tr w:rsidR="00E14290" w:rsidTr="00A5419C">
        <w:trPr>
          <w:trHeight w:val="215"/>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No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22"/>
              </w:rPr>
              <w:t xml:space="preserve"> </w:t>
            </w:r>
          </w:p>
        </w:tc>
      </w:tr>
      <w:tr w:rsidR="00E14290" w:rsidTr="00A5419C">
        <w:trPr>
          <w:trHeight w:val="219"/>
        </w:trPr>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Sayfa </w:t>
            </w:r>
          </w:p>
        </w:tc>
        <w:tc>
          <w:tcPr>
            <w:tcW w:w="1360" w:type="dxa"/>
            <w:tcBorders>
              <w:top w:val="single" w:sz="4" w:space="0" w:color="000000"/>
              <w:left w:val="single" w:sz="4" w:space="0" w:color="000000"/>
              <w:bottom w:val="single" w:sz="4" w:space="0" w:color="000000"/>
              <w:right w:val="single" w:sz="4" w:space="0" w:color="000000"/>
            </w:tcBorders>
          </w:tcPr>
          <w:p w:rsidR="00E14290" w:rsidRDefault="00CC30A4">
            <w:pPr>
              <w:spacing w:after="0" w:line="259" w:lineRule="auto"/>
              <w:ind w:left="104" w:firstLine="0"/>
              <w:jc w:val="left"/>
            </w:pPr>
            <w:r>
              <w:rPr>
                <w:rFonts w:ascii="Arial" w:eastAsia="Arial" w:hAnsi="Arial" w:cs="Arial"/>
                <w:b/>
                <w:sz w:val="18"/>
              </w:rPr>
              <w:t>1/2</w:t>
            </w:r>
            <w:r w:rsidR="006B392A">
              <w:rPr>
                <w:rFonts w:ascii="Arial" w:eastAsia="Arial" w:hAnsi="Arial" w:cs="Arial"/>
                <w:b/>
                <w:sz w:val="18"/>
              </w:rPr>
              <w:t xml:space="preserve"> </w:t>
            </w:r>
          </w:p>
        </w:tc>
      </w:tr>
    </w:tbl>
    <w:p w:rsidR="00E14290" w:rsidRDefault="006B392A" w:rsidP="00A5419C">
      <w:pPr>
        <w:spacing w:after="19" w:line="259" w:lineRule="auto"/>
        <w:ind w:left="0" w:firstLine="0"/>
        <w:jc w:val="left"/>
      </w:pPr>
      <w:r>
        <w:rPr>
          <w:b/>
        </w:rPr>
        <w:t xml:space="preserve"> </w:t>
      </w:r>
      <w:r w:rsidR="00A5419C">
        <w:rPr>
          <w:b/>
        </w:rPr>
        <w:t xml:space="preserve">  </w:t>
      </w:r>
      <w:r>
        <w:rPr>
          <w:rFonts w:ascii="Arial" w:eastAsia="Arial" w:hAnsi="Arial" w:cs="Arial"/>
          <w:b/>
        </w:rPr>
        <w:t xml:space="preserve"> </w:t>
      </w:r>
      <w:r>
        <w:rPr>
          <w:b/>
        </w:rPr>
        <w:t xml:space="preserve">Doğrudan Temin Yöntemiyle Satın alma: </w:t>
      </w:r>
    </w:p>
    <w:p w:rsidR="00E14290" w:rsidRDefault="006B392A">
      <w:pPr>
        <w:spacing w:after="0" w:line="259" w:lineRule="auto"/>
        <w:ind w:left="0" w:firstLine="0"/>
        <w:jc w:val="left"/>
      </w:pPr>
      <w:r>
        <w:rPr>
          <w:b/>
        </w:rPr>
        <w:t xml:space="preserve"> </w:t>
      </w:r>
    </w:p>
    <w:p w:rsidR="00E14290" w:rsidRDefault="006B392A">
      <w:pPr>
        <w:spacing w:after="0" w:line="376" w:lineRule="auto"/>
        <w:ind w:right="8"/>
      </w:pPr>
      <w:r>
        <w:t xml:space="preserve">4734 sayılı Kamu İhale Kanununun 22. maddesinde belirlenen şartları taşıyan alımlar bu usulle yapılabilir. Proje Yürütücüsü Proje İhtiyacını belirler ve Gerçekleştirme görevlisi biriminin ihtiyacını belirler. İhtiyaç listesini harcama yetkilisine sunar. Harcama yetkilisinin uygun bulması durumunda onay belgesi çıkarılır ve piyasa </w:t>
      </w:r>
      <w:proofErr w:type="gramStart"/>
      <w:r>
        <w:t>fiyat  araştırması</w:t>
      </w:r>
      <w:proofErr w:type="gramEnd"/>
      <w:r>
        <w:t xml:space="preserve"> yapılır. Teklifler, Piyasa Fiyat Araştırma Tutanağına işlenerek alım yapılacak firma belirlenir ve ardından tespit edilen firmaya mal siparişi veya yer teslimi yapılır. Sipariş ile birlikte temin edilen mal veya hizmet muayene işlemine tabi tutulur. Muayene işlemi, Harcama yetkilisi tarafından mevzuat kapsamında oluşturulacak Muayene ve Kabul Komisyonu tarafından yapılır. Yapılan muayene işlemi mal alımına ait ise ilgili Muayene ve Kabul Komisyon Tutanağı düzenlenir ve uygun görülen ürünler teslim alınarak ambara konulur. Yapılan alım hizmet işi ise Muayene ve Kabul Komisyonu tarafından kabul işlemi yapılarak süreç </w:t>
      </w:r>
      <w:proofErr w:type="spellStart"/>
      <w:proofErr w:type="gramStart"/>
      <w:r>
        <w:t>sonuçlandırılır.Mal</w:t>
      </w:r>
      <w:proofErr w:type="spellEnd"/>
      <w:proofErr w:type="gramEnd"/>
      <w:r>
        <w:t xml:space="preserve"> alımları, harcama biriminin Taşınır Kayıt Kontrol Yetkilisi tarafından taşınır işlem fişi düzenlenmek suretiyle kayıt altına alınır. Daha sonra söz konusu mal veya hizmet satın alma işine ait ilgili mevzuata göre eklenmesi gereken belgeler düzenlenerek ödenmek üzere Strateji Geliştirme Daire Başkanlığına </w:t>
      </w:r>
      <w:r w:rsidR="00A5419C">
        <w:t>gönderilir.</w:t>
      </w:r>
    </w:p>
    <w:tbl>
      <w:tblPr>
        <w:tblStyle w:val="TableGrid"/>
        <w:tblW w:w="9966" w:type="dxa"/>
        <w:tblInd w:w="63" w:type="dxa"/>
        <w:tblCellMar>
          <w:top w:w="7" w:type="dxa"/>
          <w:bottom w:w="6" w:type="dxa"/>
          <w:right w:w="115" w:type="dxa"/>
        </w:tblCellMar>
        <w:tblLook w:val="04A0" w:firstRow="1" w:lastRow="0" w:firstColumn="1" w:lastColumn="0" w:noHBand="0" w:noVBand="1"/>
      </w:tblPr>
      <w:tblGrid>
        <w:gridCol w:w="2639"/>
        <w:gridCol w:w="390"/>
        <w:gridCol w:w="2876"/>
        <w:gridCol w:w="4061"/>
      </w:tblGrid>
      <w:tr w:rsidR="00E14290" w:rsidTr="008D2952">
        <w:trPr>
          <w:trHeight w:val="199"/>
        </w:trPr>
        <w:tc>
          <w:tcPr>
            <w:tcW w:w="2639" w:type="dxa"/>
            <w:tcBorders>
              <w:top w:val="single" w:sz="6" w:space="0" w:color="000000"/>
              <w:left w:val="single" w:sz="6" w:space="0" w:color="000000"/>
              <w:bottom w:val="nil"/>
              <w:right w:val="nil"/>
            </w:tcBorders>
            <w:vAlign w:val="bottom"/>
          </w:tcPr>
          <w:p w:rsidR="00E14290" w:rsidRDefault="006B392A">
            <w:pPr>
              <w:tabs>
                <w:tab w:val="center" w:pos="1592"/>
              </w:tabs>
              <w:spacing w:after="0" w:line="259" w:lineRule="auto"/>
              <w:ind w:left="0" w:firstLine="0"/>
              <w:jc w:val="left"/>
            </w:pPr>
            <w:r>
              <w:rPr>
                <w:sz w:val="20"/>
              </w:rPr>
              <w:t xml:space="preserve"> </w:t>
            </w:r>
            <w:r>
              <w:rPr>
                <w:sz w:val="22"/>
              </w:rPr>
              <w:t xml:space="preserve">    </w:t>
            </w:r>
            <w:r w:rsidR="008D2952">
              <w:rPr>
                <w:sz w:val="22"/>
              </w:rPr>
              <w:t xml:space="preserve">      </w:t>
            </w:r>
            <w:r>
              <w:rPr>
                <w:sz w:val="22"/>
              </w:rPr>
              <w:t xml:space="preserve"> </w:t>
            </w:r>
            <w:r>
              <w:rPr>
                <w:sz w:val="20"/>
              </w:rPr>
              <w:t xml:space="preserve">Hazırlayan </w:t>
            </w:r>
            <w:r>
              <w:rPr>
                <w:sz w:val="20"/>
              </w:rPr>
              <w:tab/>
              <w:t xml:space="preserve"> </w:t>
            </w:r>
          </w:p>
        </w:tc>
        <w:tc>
          <w:tcPr>
            <w:tcW w:w="390" w:type="dxa"/>
            <w:tcBorders>
              <w:top w:val="single" w:sz="6" w:space="0" w:color="000000"/>
              <w:left w:val="nil"/>
              <w:bottom w:val="nil"/>
              <w:right w:val="nil"/>
            </w:tcBorders>
          </w:tcPr>
          <w:p w:rsidR="00E14290" w:rsidRDefault="006B392A">
            <w:pPr>
              <w:spacing w:after="0" w:line="259" w:lineRule="auto"/>
              <w:ind w:left="0" w:firstLine="0"/>
              <w:jc w:val="left"/>
            </w:pPr>
            <w:r>
              <w:rPr>
                <w:sz w:val="20"/>
              </w:rPr>
              <w:t xml:space="preserve"> </w:t>
            </w:r>
          </w:p>
        </w:tc>
        <w:tc>
          <w:tcPr>
            <w:tcW w:w="2876" w:type="dxa"/>
            <w:tcBorders>
              <w:top w:val="single" w:sz="6" w:space="0" w:color="000000"/>
              <w:left w:val="nil"/>
              <w:bottom w:val="nil"/>
              <w:right w:val="nil"/>
            </w:tcBorders>
            <w:vAlign w:val="bottom"/>
          </w:tcPr>
          <w:p w:rsidR="00E14290" w:rsidRDefault="00A5419C">
            <w:pPr>
              <w:tabs>
                <w:tab w:val="center" w:pos="1454"/>
              </w:tabs>
              <w:spacing w:after="0" w:line="259" w:lineRule="auto"/>
              <w:ind w:left="0" w:firstLine="0"/>
              <w:jc w:val="left"/>
            </w:pPr>
            <w:r>
              <w:rPr>
                <w:sz w:val="20"/>
              </w:rPr>
              <w:t xml:space="preserve"> </w:t>
            </w:r>
            <w:r>
              <w:rPr>
                <w:sz w:val="20"/>
              </w:rPr>
              <w:tab/>
              <w:t xml:space="preserve">    </w:t>
            </w:r>
          </w:p>
        </w:tc>
        <w:tc>
          <w:tcPr>
            <w:tcW w:w="4061" w:type="dxa"/>
            <w:tcBorders>
              <w:top w:val="single" w:sz="6" w:space="0" w:color="000000"/>
              <w:left w:val="nil"/>
              <w:bottom w:val="nil"/>
              <w:right w:val="single" w:sz="6" w:space="0" w:color="000000"/>
            </w:tcBorders>
          </w:tcPr>
          <w:p w:rsidR="00E14290" w:rsidRDefault="00EE055D">
            <w:pPr>
              <w:tabs>
                <w:tab w:val="center" w:pos="720"/>
                <w:tab w:val="center" w:pos="2375"/>
              </w:tabs>
              <w:spacing w:after="0" w:line="259" w:lineRule="auto"/>
              <w:ind w:left="0" w:firstLine="0"/>
              <w:jc w:val="left"/>
            </w:pPr>
            <w:r>
              <w:rPr>
                <w:sz w:val="20"/>
              </w:rPr>
              <w:t xml:space="preserve"> </w:t>
            </w:r>
            <w:r>
              <w:rPr>
                <w:sz w:val="20"/>
              </w:rPr>
              <w:tab/>
              <w:t xml:space="preserve">     </w:t>
            </w:r>
            <w:r w:rsidR="009760E6">
              <w:rPr>
                <w:sz w:val="20"/>
              </w:rPr>
              <w:t xml:space="preserve">                         </w:t>
            </w:r>
            <w:r>
              <w:rPr>
                <w:sz w:val="20"/>
              </w:rPr>
              <w:t xml:space="preserve"> </w:t>
            </w:r>
            <w:r w:rsidR="00A5419C">
              <w:rPr>
                <w:sz w:val="20"/>
              </w:rPr>
              <w:t>Onaylayan</w:t>
            </w:r>
          </w:p>
        </w:tc>
      </w:tr>
      <w:tr w:rsidR="00E14290" w:rsidTr="008D2952">
        <w:trPr>
          <w:trHeight w:val="484"/>
        </w:trPr>
        <w:tc>
          <w:tcPr>
            <w:tcW w:w="2639" w:type="dxa"/>
            <w:tcBorders>
              <w:top w:val="nil"/>
              <w:left w:val="single" w:sz="6" w:space="0" w:color="000000"/>
              <w:bottom w:val="single" w:sz="6" w:space="0" w:color="000000"/>
              <w:right w:val="nil"/>
            </w:tcBorders>
          </w:tcPr>
          <w:p w:rsidR="00E14290" w:rsidRDefault="00EE055D">
            <w:pPr>
              <w:spacing w:after="0" w:line="259" w:lineRule="auto"/>
              <w:ind w:left="151" w:firstLine="0"/>
              <w:jc w:val="left"/>
            </w:pPr>
            <w:r>
              <w:t xml:space="preserve"> </w:t>
            </w:r>
            <w:r w:rsidR="009760E6">
              <w:t xml:space="preserve">  Salih ARSLAN</w:t>
            </w:r>
          </w:p>
          <w:p w:rsidR="008D2952" w:rsidRDefault="00EE055D">
            <w:pPr>
              <w:spacing w:after="0" w:line="259" w:lineRule="auto"/>
              <w:ind w:left="151" w:firstLine="0"/>
              <w:jc w:val="left"/>
            </w:pPr>
            <w:r>
              <w:t xml:space="preserve">   Fakülte</w:t>
            </w:r>
            <w:r w:rsidR="008D2952">
              <w:t xml:space="preserve"> Sekreteri</w:t>
            </w:r>
          </w:p>
        </w:tc>
        <w:tc>
          <w:tcPr>
            <w:tcW w:w="390" w:type="dxa"/>
            <w:tcBorders>
              <w:top w:val="nil"/>
              <w:left w:val="nil"/>
              <w:bottom w:val="single" w:sz="6" w:space="0" w:color="000000"/>
              <w:right w:val="nil"/>
            </w:tcBorders>
          </w:tcPr>
          <w:p w:rsidR="00E14290" w:rsidRDefault="00E14290">
            <w:pPr>
              <w:spacing w:after="0" w:line="259" w:lineRule="auto"/>
              <w:ind w:left="0" w:firstLine="0"/>
              <w:jc w:val="left"/>
            </w:pPr>
          </w:p>
        </w:tc>
        <w:tc>
          <w:tcPr>
            <w:tcW w:w="2876" w:type="dxa"/>
            <w:tcBorders>
              <w:top w:val="nil"/>
              <w:left w:val="nil"/>
              <w:bottom w:val="single" w:sz="6" w:space="0" w:color="000000"/>
              <w:right w:val="nil"/>
            </w:tcBorders>
          </w:tcPr>
          <w:p w:rsidR="00E14290" w:rsidRDefault="00E14290">
            <w:pPr>
              <w:spacing w:after="0" w:line="259" w:lineRule="auto"/>
              <w:ind w:left="0" w:firstLine="0"/>
              <w:jc w:val="left"/>
            </w:pPr>
          </w:p>
        </w:tc>
        <w:tc>
          <w:tcPr>
            <w:tcW w:w="4061" w:type="dxa"/>
            <w:tcBorders>
              <w:top w:val="nil"/>
              <w:left w:val="nil"/>
              <w:bottom w:val="single" w:sz="6" w:space="0" w:color="000000"/>
              <w:right w:val="single" w:sz="6" w:space="0" w:color="000000"/>
            </w:tcBorders>
          </w:tcPr>
          <w:p w:rsidR="00E14290" w:rsidRDefault="009760E6">
            <w:pPr>
              <w:spacing w:after="0" w:line="259" w:lineRule="auto"/>
              <w:ind w:left="0" w:firstLine="0"/>
              <w:jc w:val="left"/>
            </w:pPr>
            <w:r>
              <w:t xml:space="preserve">  </w:t>
            </w:r>
            <w:r w:rsidR="00EC758B">
              <w:t xml:space="preserve"> </w:t>
            </w:r>
            <w:r w:rsidR="00EE055D">
              <w:t xml:space="preserve">Prof. </w:t>
            </w:r>
            <w:r w:rsidR="008D2952">
              <w:t>Dr.</w:t>
            </w:r>
            <w:r w:rsidR="00EC758B">
              <w:t xml:space="preserve"> </w:t>
            </w:r>
            <w:r>
              <w:t>Ertuğrul ŞAHMETLİOĞLU</w:t>
            </w:r>
          </w:p>
          <w:p w:rsidR="008D2952" w:rsidRDefault="008D2952" w:rsidP="009760E6">
            <w:pPr>
              <w:spacing w:after="0" w:line="259" w:lineRule="auto"/>
              <w:ind w:left="0" w:firstLine="0"/>
              <w:jc w:val="left"/>
            </w:pPr>
            <w:r>
              <w:t xml:space="preserve">          </w:t>
            </w:r>
            <w:r w:rsidR="009760E6">
              <w:t xml:space="preserve">                 Müdür</w:t>
            </w:r>
            <w:r w:rsidR="00EE055D">
              <w:t xml:space="preserve"> V.</w:t>
            </w:r>
            <w:r w:rsidR="00EC758B">
              <w:t xml:space="preserve"> </w:t>
            </w:r>
          </w:p>
        </w:tc>
      </w:tr>
    </w:tbl>
    <w:p w:rsidR="00431AE2" w:rsidRDefault="00431AE2">
      <w:pPr>
        <w:spacing w:after="108" w:line="259" w:lineRule="auto"/>
        <w:ind w:left="438"/>
        <w:jc w:val="left"/>
        <w:rPr>
          <w:b/>
        </w:rPr>
      </w:pPr>
    </w:p>
    <w:p w:rsidR="00431AE2" w:rsidRDefault="00431AE2">
      <w:pPr>
        <w:spacing w:after="108" w:line="259" w:lineRule="auto"/>
        <w:ind w:left="438"/>
        <w:jc w:val="left"/>
        <w:rPr>
          <w:b/>
        </w:rPr>
      </w:pPr>
    </w:p>
    <w:p w:rsidR="00E14290" w:rsidRDefault="006B392A">
      <w:pPr>
        <w:spacing w:after="108" w:line="259" w:lineRule="auto"/>
        <w:ind w:left="438"/>
        <w:jc w:val="left"/>
      </w:pPr>
      <w:r>
        <w:rPr>
          <w:b/>
        </w:rPr>
        <w:t xml:space="preserve">İhale Yöntemiyle Satın Alma: </w:t>
      </w:r>
    </w:p>
    <w:p w:rsidR="00E14290" w:rsidRDefault="006B392A">
      <w:pPr>
        <w:spacing w:after="20"/>
        <w:ind w:right="8"/>
      </w:pPr>
      <w:r>
        <w:t xml:space="preserve">4734 sayılı Kamu İhale Kanunu kapsamında yapılan mal veya hizmet alımları ihale usullerinden  birisi (Madde 18-19-20-21) seçilmek suretiyle </w:t>
      </w:r>
      <w:proofErr w:type="spellStart"/>
      <w:proofErr w:type="gramStart"/>
      <w:r>
        <w:t>yapılır.Harcama</w:t>
      </w:r>
      <w:proofErr w:type="spellEnd"/>
      <w:proofErr w:type="gramEnd"/>
      <w:r>
        <w:t xml:space="preserve"> Birimi ihale konusuyla ilgili teknik ve idari şartname, sözleşme tasarısının yer aldığı ihale dokümanlarını hazırlayarak Kamu İhale Kanununda belirlenen işlemleri yapar. Daha sonra ihale ile ilgili teklifler görevli personelce ihale günü ve saatinden önce İhale Komisyonuna teslim edilir. Komisyon tarafından sonuçlandırılan ihaleler onay için İhale Yetkilisine gönderilir. İhale Yetkilisi tarafından onaylanan ihaleler için sözleşmeye davet, mal siparişi, yer teslimi vb. işlemler </w:t>
      </w:r>
      <w:proofErr w:type="spellStart"/>
      <w:proofErr w:type="gramStart"/>
      <w:r>
        <w:t>yapılır.İhale</w:t>
      </w:r>
      <w:proofErr w:type="spellEnd"/>
      <w:proofErr w:type="gramEnd"/>
      <w:r>
        <w:t xml:space="preserve"> konusu; mal alımı ise, giriş muayenesi, ambarlara teslim ve muhasebe kontrolleri doğrudan temin yöntemindeki gibi </w:t>
      </w:r>
      <w:proofErr w:type="spellStart"/>
      <w:r>
        <w:t>yapılır.İhale</w:t>
      </w:r>
      <w:proofErr w:type="spellEnd"/>
      <w:r>
        <w:t xml:space="preserve"> konusu; hizmet ise periyodik olarak yapılan (haftalık, aylık) kontroller ve raporlamalar sonrasında ödeme emri ve eki belgeler düzenlenerek ödeme işlemi için Strateji Geliştirme Daire Başkanlığına gönderilir. </w:t>
      </w:r>
    </w:p>
    <w:p w:rsidR="00E14290" w:rsidRDefault="006B392A">
      <w:pPr>
        <w:spacing w:after="24" w:line="259" w:lineRule="auto"/>
        <w:ind w:left="0" w:firstLine="0"/>
        <w:jc w:val="left"/>
      </w:pPr>
      <w:r>
        <w:t xml:space="preserve"> </w:t>
      </w:r>
    </w:p>
    <w:p w:rsidR="00E14290" w:rsidRDefault="006B392A">
      <w:pPr>
        <w:pStyle w:val="Balk1"/>
        <w:spacing w:after="44"/>
        <w:ind w:left="228"/>
      </w:pPr>
      <w:r>
        <w:t xml:space="preserve">İlgili </w:t>
      </w:r>
      <w:proofErr w:type="gramStart"/>
      <w:r>
        <w:t xml:space="preserve">Dokümanlar </w:t>
      </w:r>
      <w:r>
        <w:rPr>
          <w:rFonts w:ascii="Arial" w:eastAsia="Arial" w:hAnsi="Arial" w:cs="Arial"/>
        </w:rPr>
        <w:t xml:space="preserve"> </w:t>
      </w:r>
      <w:r>
        <w:t>Dış</w:t>
      </w:r>
      <w:proofErr w:type="gramEnd"/>
      <w:r>
        <w:t xml:space="preserve"> Kaynaklı Dokümanlar </w:t>
      </w:r>
    </w:p>
    <w:p w:rsidR="00E14290" w:rsidRDefault="006B392A">
      <w:pPr>
        <w:ind w:left="936" w:right="5087"/>
      </w:pPr>
      <w:proofErr w:type="gramStart"/>
      <w:r>
        <w:t>2547  sayılı</w:t>
      </w:r>
      <w:proofErr w:type="gramEnd"/>
      <w:r>
        <w:t xml:space="preserve"> Yükseköğretim Kanunu 2886 sayılı Devlet İhale Kanunu </w:t>
      </w:r>
    </w:p>
    <w:p w:rsidR="00E14290" w:rsidRDefault="006B392A">
      <w:pPr>
        <w:ind w:left="936" w:right="8"/>
      </w:pPr>
      <w:proofErr w:type="gramStart"/>
      <w:r>
        <w:t>4734   sayılı</w:t>
      </w:r>
      <w:proofErr w:type="gramEnd"/>
      <w:r>
        <w:t xml:space="preserve"> Kamu İhale Kanunu </w:t>
      </w:r>
    </w:p>
    <w:tbl>
      <w:tblPr>
        <w:tblStyle w:val="TableGrid"/>
        <w:tblpPr w:vertAnchor="page" w:horzAnchor="page" w:tblpX="1015" w:tblpY="146"/>
        <w:tblOverlap w:val="never"/>
        <w:tblW w:w="9989" w:type="dxa"/>
        <w:tblInd w:w="0" w:type="dxa"/>
        <w:tblCellMar>
          <w:top w:w="6" w:type="dxa"/>
          <w:left w:w="5" w:type="dxa"/>
          <w:right w:w="58" w:type="dxa"/>
        </w:tblCellMar>
        <w:tblLook w:val="04A0" w:firstRow="1" w:lastRow="0" w:firstColumn="1" w:lastColumn="0" w:noHBand="0" w:noVBand="1"/>
      </w:tblPr>
      <w:tblGrid>
        <w:gridCol w:w="1803"/>
        <w:gridCol w:w="5290"/>
        <w:gridCol w:w="1542"/>
        <w:gridCol w:w="1354"/>
      </w:tblGrid>
      <w:tr w:rsidR="00E14290">
        <w:trPr>
          <w:trHeight w:val="288"/>
        </w:trPr>
        <w:tc>
          <w:tcPr>
            <w:tcW w:w="1656" w:type="dxa"/>
            <w:vMerge w:val="restart"/>
            <w:tcBorders>
              <w:top w:val="single" w:sz="4" w:space="0" w:color="000000"/>
              <w:left w:val="single" w:sz="4" w:space="0" w:color="000000"/>
              <w:bottom w:val="single" w:sz="4" w:space="0" w:color="000000"/>
              <w:right w:val="single" w:sz="4" w:space="0" w:color="000000"/>
            </w:tcBorders>
            <w:vAlign w:val="bottom"/>
          </w:tcPr>
          <w:p w:rsidR="00E14290" w:rsidRDefault="006B392A">
            <w:pPr>
              <w:spacing w:after="0" w:line="259" w:lineRule="auto"/>
              <w:ind w:left="0" w:firstLine="0"/>
              <w:jc w:val="right"/>
            </w:pPr>
            <w:r>
              <w:rPr>
                <w:rFonts w:eastAsia="Arial"/>
                <w:noProof/>
                <w:szCs w:val="24"/>
              </w:rPr>
              <w:drawing>
                <wp:inline distT="0" distB="0" distL="0" distR="0" wp14:anchorId="00073ECD" wp14:editId="3100E5A9">
                  <wp:extent cx="1103630" cy="1104265"/>
                  <wp:effectExtent l="0" t="0" r="127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104265"/>
                          </a:xfrm>
                          <a:prstGeom prst="rect">
                            <a:avLst/>
                          </a:prstGeom>
                          <a:noFill/>
                        </pic:spPr>
                      </pic:pic>
                    </a:graphicData>
                  </a:graphic>
                </wp:inline>
              </w:drawing>
            </w:r>
            <w:r>
              <w:rPr>
                <w:sz w:val="20"/>
              </w:rPr>
              <w:t xml:space="preserve"> </w:t>
            </w:r>
          </w:p>
        </w:tc>
        <w:tc>
          <w:tcPr>
            <w:tcW w:w="5390" w:type="dxa"/>
            <w:vMerge w:val="restart"/>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46"/>
              </w:rPr>
              <w:t xml:space="preserve"> </w:t>
            </w:r>
          </w:p>
          <w:p w:rsidR="006B392A" w:rsidRDefault="006B392A">
            <w:pPr>
              <w:spacing w:after="0" w:line="259" w:lineRule="auto"/>
              <w:ind w:left="44" w:firstLine="0"/>
              <w:jc w:val="center"/>
            </w:pPr>
            <w:r>
              <w:rPr>
                <w:b/>
                <w:sz w:val="32"/>
              </w:rPr>
              <w:t xml:space="preserve">SATIN ALMA PROSEDÜRÜ </w:t>
            </w:r>
          </w:p>
          <w:p w:rsidR="006B392A" w:rsidRPr="006B392A" w:rsidRDefault="006B392A" w:rsidP="006B392A"/>
          <w:p w:rsidR="006B392A" w:rsidRDefault="006B392A" w:rsidP="006B392A"/>
          <w:p w:rsidR="00E14290" w:rsidRPr="006B392A" w:rsidRDefault="00E14290" w:rsidP="006B392A">
            <w:pPr>
              <w:jc w:val="center"/>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Doküman No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trPr>
          <w:trHeight w:val="286"/>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İlk Yayın Tarihi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104" w:firstLine="0"/>
              <w:jc w:val="left"/>
            </w:pPr>
          </w:p>
        </w:tc>
      </w:tr>
      <w:tr w:rsidR="00E14290">
        <w:trPr>
          <w:trHeight w:val="288"/>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Tarihi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E14290">
            <w:pPr>
              <w:spacing w:after="0" w:line="259" w:lineRule="auto"/>
              <w:ind w:left="0" w:firstLine="0"/>
              <w:jc w:val="left"/>
            </w:pPr>
          </w:p>
        </w:tc>
      </w:tr>
      <w:tr w:rsidR="00E14290">
        <w:trPr>
          <w:trHeight w:val="286"/>
        </w:trPr>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Revizyon No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0" w:firstLine="0"/>
              <w:jc w:val="left"/>
            </w:pPr>
            <w:r>
              <w:rPr>
                <w:sz w:val="22"/>
              </w:rPr>
              <w:t xml:space="preserve"> </w:t>
            </w:r>
          </w:p>
        </w:tc>
      </w:tr>
      <w:tr w:rsidR="00E14290">
        <w:trPr>
          <w:trHeight w:val="291"/>
        </w:trPr>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14290" w:rsidRDefault="00E14290">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E14290" w:rsidRDefault="006B392A">
            <w:pPr>
              <w:spacing w:after="0" w:line="259" w:lineRule="auto"/>
              <w:ind w:left="103" w:firstLine="0"/>
              <w:jc w:val="left"/>
            </w:pPr>
            <w:r>
              <w:rPr>
                <w:sz w:val="20"/>
              </w:rPr>
              <w:t xml:space="preserve">Sayfa </w:t>
            </w:r>
          </w:p>
        </w:tc>
        <w:tc>
          <w:tcPr>
            <w:tcW w:w="1383" w:type="dxa"/>
            <w:tcBorders>
              <w:top w:val="single" w:sz="4" w:space="0" w:color="000000"/>
              <w:left w:val="single" w:sz="4" w:space="0" w:color="000000"/>
              <w:bottom w:val="single" w:sz="4" w:space="0" w:color="000000"/>
              <w:right w:val="single" w:sz="4" w:space="0" w:color="000000"/>
            </w:tcBorders>
          </w:tcPr>
          <w:p w:rsidR="00E14290" w:rsidRDefault="00CC30A4">
            <w:pPr>
              <w:spacing w:after="0" w:line="259" w:lineRule="auto"/>
              <w:ind w:left="104" w:firstLine="0"/>
              <w:jc w:val="left"/>
            </w:pPr>
            <w:r>
              <w:rPr>
                <w:rFonts w:ascii="Arial" w:eastAsia="Arial" w:hAnsi="Arial" w:cs="Arial"/>
                <w:b/>
                <w:sz w:val="18"/>
              </w:rPr>
              <w:t>1/2</w:t>
            </w:r>
          </w:p>
        </w:tc>
      </w:tr>
    </w:tbl>
    <w:p w:rsidR="00E14290" w:rsidRDefault="006B392A">
      <w:pPr>
        <w:ind w:left="936" w:right="3947"/>
      </w:pPr>
      <w:proofErr w:type="gramStart"/>
      <w:r>
        <w:t>4734  sayılı</w:t>
      </w:r>
      <w:proofErr w:type="gramEnd"/>
      <w:r>
        <w:t xml:space="preserve"> Kanunla ilgili Yönetmelik ve Tebliğler 4735 sayılı Kamu İhaleleri Sözleşmeleri Kanunu 5018  sayılı Kamu Mali Yönetimi ve Kontrol Kanunu </w:t>
      </w:r>
    </w:p>
    <w:p w:rsidR="00E14290" w:rsidRDefault="006B392A">
      <w:pPr>
        <w:ind w:left="936" w:right="8"/>
      </w:pPr>
      <w:r>
        <w:t xml:space="preserve">Taşınır Mal Yönetmeliği </w:t>
      </w:r>
    </w:p>
    <w:p w:rsidR="00E14290" w:rsidRDefault="006B392A">
      <w:pPr>
        <w:ind w:left="936" w:right="8"/>
      </w:pPr>
      <w:r>
        <w:t xml:space="preserve">Merkezi Yönetim Harcama Belgeleri Yönetmeliği </w:t>
      </w:r>
    </w:p>
    <w:p w:rsidR="00E14290" w:rsidRDefault="006B392A">
      <w:pPr>
        <w:pStyle w:val="Balk1"/>
        <w:numPr>
          <w:ilvl w:val="0"/>
          <w:numId w:val="0"/>
        </w:numPr>
        <w:spacing w:after="105"/>
        <w:ind w:left="228"/>
      </w:pPr>
      <w:r>
        <w:rPr>
          <w:rFonts w:ascii="Arial" w:eastAsia="Arial" w:hAnsi="Arial" w:cs="Arial"/>
          <w:b w:val="0"/>
        </w:rPr>
        <w:t xml:space="preserve"> </w:t>
      </w:r>
      <w:r>
        <w:t xml:space="preserve">İç Kaynaklı Dokümanlar </w:t>
      </w:r>
      <w:r>
        <w:rPr>
          <w:b w:val="0"/>
        </w:rPr>
        <w:t xml:space="preserve"> </w:t>
      </w:r>
    </w:p>
    <w:p w:rsidR="00E14290" w:rsidRDefault="006B392A">
      <w:pPr>
        <w:spacing w:after="103"/>
        <w:ind w:left="862" w:right="8"/>
      </w:pPr>
      <w:r>
        <w:rPr>
          <w:rFonts w:ascii="Arial" w:eastAsia="Arial" w:hAnsi="Arial" w:cs="Arial"/>
        </w:rPr>
        <w:t xml:space="preserve"> </w:t>
      </w:r>
      <w:r>
        <w:t xml:space="preserve">İhtiyaç Belgesi Formu  </w:t>
      </w:r>
    </w:p>
    <w:p w:rsidR="00E14290" w:rsidRDefault="006B392A" w:rsidP="00EE055D">
      <w:pPr>
        <w:tabs>
          <w:tab w:val="left" w:pos="7815"/>
        </w:tabs>
        <w:spacing w:after="104"/>
        <w:ind w:left="862" w:right="8"/>
      </w:pPr>
      <w:r>
        <w:rPr>
          <w:rFonts w:ascii="Arial" w:eastAsia="Arial" w:hAnsi="Arial" w:cs="Arial"/>
        </w:rPr>
        <w:t xml:space="preserve"> </w:t>
      </w:r>
      <w:r>
        <w:t xml:space="preserve">Teknik ve İdari Şartname </w:t>
      </w:r>
      <w:r w:rsidR="00EE055D">
        <w:tab/>
      </w:r>
    </w:p>
    <w:p w:rsidR="00E14290" w:rsidRDefault="006B392A">
      <w:pPr>
        <w:ind w:left="862" w:right="8"/>
      </w:pPr>
      <w:r>
        <w:rPr>
          <w:rFonts w:ascii="Arial" w:eastAsia="Arial" w:hAnsi="Arial" w:cs="Arial"/>
        </w:rPr>
        <w:t xml:space="preserve"> </w:t>
      </w:r>
      <w:r>
        <w:t xml:space="preserve">Yaklaşık Maliyet Hesap Cetveli </w:t>
      </w:r>
    </w:p>
    <w:p w:rsidR="00E14290" w:rsidRDefault="006B392A">
      <w:pPr>
        <w:spacing w:after="113"/>
        <w:ind w:left="936" w:right="8"/>
      </w:pPr>
      <w:r>
        <w:t xml:space="preserve">Onay Belgesi </w:t>
      </w:r>
    </w:p>
    <w:p w:rsidR="00E14290" w:rsidRDefault="006B392A">
      <w:pPr>
        <w:tabs>
          <w:tab w:val="center" w:pos="1253"/>
          <w:tab w:val="center" w:pos="2209"/>
          <w:tab w:val="center" w:pos="3333"/>
        </w:tabs>
        <w:ind w:left="0" w:firstLine="0"/>
        <w:jc w:val="left"/>
      </w:pPr>
      <w:r>
        <w:rPr>
          <w:rFonts w:ascii="Calibri" w:eastAsia="Calibri" w:hAnsi="Calibri" w:cs="Calibri"/>
          <w:sz w:val="22"/>
        </w:rPr>
        <w:tab/>
      </w:r>
      <w:r>
        <w:t xml:space="preserve">Piyasa </w:t>
      </w:r>
      <w:r>
        <w:tab/>
        <w:t xml:space="preserve">Fiyat </w:t>
      </w:r>
      <w:r>
        <w:tab/>
        <w:t xml:space="preserve">Araştırma </w:t>
      </w:r>
    </w:p>
    <w:p w:rsidR="00E14290" w:rsidRDefault="006B392A">
      <w:pPr>
        <w:spacing w:after="12"/>
        <w:ind w:left="936" w:right="8"/>
      </w:pPr>
      <w:r>
        <w:t xml:space="preserve">Tutanağı </w:t>
      </w:r>
      <w:proofErr w:type="spellStart"/>
      <w:r>
        <w:t>Ekap</w:t>
      </w:r>
      <w:proofErr w:type="spellEnd"/>
      <w:r>
        <w:t xml:space="preserve"> Formları  </w:t>
      </w:r>
    </w:p>
    <w:p w:rsidR="00E14290" w:rsidRDefault="006B392A">
      <w:pPr>
        <w:ind w:left="936" w:right="8"/>
      </w:pPr>
      <w:r>
        <w:t xml:space="preserve">İhale Zarf Açma ve Belge Kontrol </w:t>
      </w:r>
    </w:p>
    <w:p w:rsidR="00E14290" w:rsidRDefault="006B392A">
      <w:pPr>
        <w:ind w:left="936" w:right="8"/>
      </w:pPr>
      <w:r>
        <w:t xml:space="preserve">Tutanağı İhale Fiyat Teklif Belgesi </w:t>
      </w:r>
    </w:p>
    <w:p w:rsidR="00E14290" w:rsidRDefault="006B392A">
      <w:pPr>
        <w:spacing w:after="14"/>
        <w:ind w:left="936" w:right="8"/>
      </w:pPr>
      <w:r>
        <w:t xml:space="preserve">İhale Komisyonu Karar Tutanağı Sözleşme </w:t>
      </w:r>
    </w:p>
    <w:p w:rsidR="00E14290" w:rsidRDefault="006B392A">
      <w:pPr>
        <w:tabs>
          <w:tab w:val="center" w:pos="1387"/>
          <w:tab w:val="center" w:pos="2505"/>
          <w:tab w:val="center" w:pos="3679"/>
        </w:tabs>
        <w:ind w:left="0" w:firstLine="0"/>
        <w:jc w:val="left"/>
      </w:pPr>
      <w:r>
        <w:rPr>
          <w:rFonts w:ascii="Calibri" w:eastAsia="Calibri" w:hAnsi="Calibri" w:cs="Calibri"/>
          <w:sz w:val="22"/>
        </w:rPr>
        <w:tab/>
      </w:r>
      <w:r>
        <w:t xml:space="preserve">Muayene </w:t>
      </w:r>
      <w:r>
        <w:tab/>
        <w:t xml:space="preserve">Kabul </w:t>
      </w:r>
      <w:r>
        <w:tab/>
        <w:t xml:space="preserve">Komisyon </w:t>
      </w:r>
    </w:p>
    <w:p w:rsidR="00E14290" w:rsidRDefault="006B392A">
      <w:pPr>
        <w:ind w:left="936" w:right="8"/>
      </w:pPr>
      <w:r>
        <w:t xml:space="preserve">Tutanağı Taşınır İşlem Fişi </w:t>
      </w:r>
    </w:p>
    <w:p w:rsidR="00E14290" w:rsidRDefault="006B392A">
      <w:pPr>
        <w:ind w:left="936" w:right="8"/>
      </w:pPr>
      <w:r>
        <w:t xml:space="preserve">Harcama Talimatı </w:t>
      </w:r>
    </w:p>
    <w:p w:rsidR="00E14290" w:rsidRDefault="006B392A">
      <w:pPr>
        <w:spacing w:after="12"/>
        <w:ind w:left="936" w:right="8"/>
      </w:pPr>
      <w:r>
        <w:t xml:space="preserve">Ödeme Emri Belgesi </w:t>
      </w:r>
    </w:p>
    <w:p w:rsidR="00E14290" w:rsidRDefault="006B392A" w:rsidP="00B07F5D">
      <w:pPr>
        <w:spacing w:after="16" w:line="259" w:lineRule="auto"/>
        <w:ind w:left="941" w:firstLine="0"/>
        <w:jc w:val="left"/>
      </w:pPr>
      <w:r>
        <w:t xml:space="preserve"> </w:t>
      </w:r>
      <w:r>
        <w:rPr>
          <w:sz w:val="20"/>
        </w:rPr>
        <w:t xml:space="preserve"> </w:t>
      </w:r>
    </w:p>
    <w:tbl>
      <w:tblPr>
        <w:tblStyle w:val="TableGrid"/>
        <w:tblW w:w="10281" w:type="dxa"/>
        <w:tblInd w:w="276" w:type="dxa"/>
        <w:tblCellMar>
          <w:top w:w="7" w:type="dxa"/>
          <w:bottom w:w="6" w:type="dxa"/>
          <w:right w:w="115" w:type="dxa"/>
        </w:tblCellMar>
        <w:tblLook w:val="04A0" w:firstRow="1" w:lastRow="0" w:firstColumn="1" w:lastColumn="0" w:noHBand="0" w:noVBand="1"/>
      </w:tblPr>
      <w:tblGrid>
        <w:gridCol w:w="3176"/>
        <w:gridCol w:w="206"/>
        <w:gridCol w:w="3269"/>
        <w:gridCol w:w="3630"/>
      </w:tblGrid>
      <w:tr w:rsidR="00E14290" w:rsidTr="009760E6">
        <w:trPr>
          <w:trHeight w:val="278"/>
        </w:trPr>
        <w:tc>
          <w:tcPr>
            <w:tcW w:w="3176" w:type="dxa"/>
            <w:tcBorders>
              <w:top w:val="single" w:sz="6" w:space="0" w:color="000000"/>
              <w:left w:val="single" w:sz="6" w:space="0" w:color="000000"/>
              <w:bottom w:val="nil"/>
              <w:right w:val="nil"/>
            </w:tcBorders>
            <w:vAlign w:val="bottom"/>
          </w:tcPr>
          <w:p w:rsidR="00E14290" w:rsidRDefault="006B392A">
            <w:pPr>
              <w:tabs>
                <w:tab w:val="center" w:pos="1592"/>
              </w:tabs>
              <w:spacing w:after="0" w:line="259" w:lineRule="auto"/>
              <w:ind w:left="0" w:firstLine="0"/>
              <w:jc w:val="left"/>
            </w:pPr>
            <w:r>
              <w:rPr>
                <w:sz w:val="22"/>
              </w:rPr>
              <w:t xml:space="preserve">    </w:t>
            </w:r>
            <w:r w:rsidR="008D2952">
              <w:rPr>
                <w:sz w:val="22"/>
              </w:rPr>
              <w:t xml:space="preserve">      </w:t>
            </w:r>
            <w:r>
              <w:rPr>
                <w:sz w:val="22"/>
              </w:rPr>
              <w:t xml:space="preserve"> </w:t>
            </w:r>
            <w:r>
              <w:rPr>
                <w:sz w:val="20"/>
              </w:rPr>
              <w:t xml:space="preserve">Hazırlayan </w:t>
            </w:r>
            <w:r>
              <w:rPr>
                <w:sz w:val="20"/>
              </w:rPr>
              <w:tab/>
              <w:t xml:space="preserve"> </w:t>
            </w:r>
          </w:p>
        </w:tc>
        <w:tc>
          <w:tcPr>
            <w:tcW w:w="206" w:type="dxa"/>
            <w:tcBorders>
              <w:top w:val="single" w:sz="6" w:space="0" w:color="000000"/>
              <w:left w:val="nil"/>
              <w:bottom w:val="nil"/>
              <w:right w:val="nil"/>
            </w:tcBorders>
          </w:tcPr>
          <w:p w:rsidR="00E14290" w:rsidRDefault="006B392A">
            <w:pPr>
              <w:spacing w:after="0" w:line="259" w:lineRule="auto"/>
              <w:ind w:left="0" w:firstLine="0"/>
              <w:jc w:val="left"/>
            </w:pPr>
            <w:r>
              <w:rPr>
                <w:sz w:val="20"/>
              </w:rPr>
              <w:t xml:space="preserve"> </w:t>
            </w:r>
          </w:p>
        </w:tc>
        <w:tc>
          <w:tcPr>
            <w:tcW w:w="3269" w:type="dxa"/>
            <w:tcBorders>
              <w:top w:val="single" w:sz="6" w:space="0" w:color="000000"/>
              <w:left w:val="nil"/>
              <w:bottom w:val="nil"/>
              <w:right w:val="nil"/>
            </w:tcBorders>
            <w:vAlign w:val="bottom"/>
          </w:tcPr>
          <w:p w:rsidR="00E14290" w:rsidRDefault="00A5419C">
            <w:pPr>
              <w:tabs>
                <w:tab w:val="center" w:pos="1454"/>
              </w:tabs>
              <w:spacing w:after="0" w:line="259" w:lineRule="auto"/>
              <w:ind w:left="0" w:firstLine="0"/>
              <w:jc w:val="left"/>
            </w:pPr>
            <w:r>
              <w:rPr>
                <w:sz w:val="20"/>
              </w:rPr>
              <w:t xml:space="preserve"> </w:t>
            </w:r>
            <w:r>
              <w:rPr>
                <w:sz w:val="20"/>
              </w:rPr>
              <w:tab/>
              <w:t xml:space="preserve">    </w:t>
            </w:r>
          </w:p>
        </w:tc>
        <w:tc>
          <w:tcPr>
            <w:tcW w:w="3630" w:type="dxa"/>
            <w:tcBorders>
              <w:top w:val="single" w:sz="6" w:space="0" w:color="000000"/>
              <w:left w:val="nil"/>
              <w:bottom w:val="nil"/>
              <w:right w:val="single" w:sz="6" w:space="0" w:color="000000"/>
            </w:tcBorders>
          </w:tcPr>
          <w:p w:rsidR="00EC758B" w:rsidRDefault="00EE055D">
            <w:pPr>
              <w:tabs>
                <w:tab w:val="center" w:pos="720"/>
                <w:tab w:val="center" w:pos="2375"/>
              </w:tabs>
              <w:spacing w:after="0" w:line="259" w:lineRule="auto"/>
              <w:ind w:left="0" w:firstLine="0"/>
              <w:jc w:val="left"/>
              <w:rPr>
                <w:sz w:val="20"/>
              </w:rPr>
            </w:pPr>
            <w:r>
              <w:rPr>
                <w:sz w:val="20"/>
              </w:rPr>
              <w:t xml:space="preserve">                            </w:t>
            </w:r>
          </w:p>
          <w:p w:rsidR="00E14290" w:rsidRDefault="009760E6">
            <w:pPr>
              <w:tabs>
                <w:tab w:val="center" w:pos="720"/>
                <w:tab w:val="center" w:pos="2375"/>
              </w:tabs>
              <w:spacing w:after="0" w:line="259" w:lineRule="auto"/>
              <w:ind w:left="0" w:firstLine="0"/>
              <w:jc w:val="left"/>
            </w:pPr>
            <w:r>
              <w:rPr>
                <w:sz w:val="20"/>
              </w:rPr>
              <w:t xml:space="preserve">              </w:t>
            </w:r>
            <w:r w:rsidR="00EC758B">
              <w:rPr>
                <w:sz w:val="20"/>
              </w:rPr>
              <w:t xml:space="preserve"> </w:t>
            </w:r>
            <w:r>
              <w:rPr>
                <w:sz w:val="20"/>
              </w:rPr>
              <w:t xml:space="preserve">                </w:t>
            </w:r>
            <w:r w:rsidR="00A5419C">
              <w:rPr>
                <w:sz w:val="20"/>
              </w:rPr>
              <w:t>Onaylayan</w:t>
            </w:r>
          </w:p>
        </w:tc>
      </w:tr>
      <w:tr w:rsidR="009760E6" w:rsidTr="009760E6">
        <w:trPr>
          <w:trHeight w:val="470"/>
        </w:trPr>
        <w:tc>
          <w:tcPr>
            <w:tcW w:w="3176" w:type="dxa"/>
            <w:tcBorders>
              <w:top w:val="nil"/>
              <w:left w:val="single" w:sz="6" w:space="0" w:color="000000"/>
              <w:bottom w:val="single" w:sz="6" w:space="0" w:color="000000"/>
              <w:right w:val="nil"/>
            </w:tcBorders>
          </w:tcPr>
          <w:p w:rsidR="009760E6" w:rsidRDefault="009760E6" w:rsidP="009760E6">
            <w:pPr>
              <w:spacing w:after="0" w:line="259" w:lineRule="auto"/>
              <w:ind w:left="151" w:firstLine="0"/>
              <w:jc w:val="left"/>
            </w:pPr>
            <w:r>
              <w:t xml:space="preserve">   Salih ARSLAN</w:t>
            </w:r>
          </w:p>
          <w:p w:rsidR="009760E6" w:rsidRDefault="009760E6" w:rsidP="009760E6">
            <w:pPr>
              <w:spacing w:after="0" w:line="259" w:lineRule="auto"/>
              <w:ind w:left="151" w:firstLine="0"/>
              <w:jc w:val="left"/>
            </w:pPr>
            <w:r>
              <w:t xml:space="preserve">   Fakülte Sekreteri</w:t>
            </w:r>
          </w:p>
        </w:tc>
        <w:tc>
          <w:tcPr>
            <w:tcW w:w="206" w:type="dxa"/>
            <w:tcBorders>
              <w:top w:val="nil"/>
              <w:left w:val="nil"/>
              <w:bottom w:val="single" w:sz="6" w:space="0" w:color="000000"/>
              <w:right w:val="nil"/>
            </w:tcBorders>
          </w:tcPr>
          <w:p w:rsidR="009760E6" w:rsidRDefault="009760E6" w:rsidP="009760E6">
            <w:pPr>
              <w:spacing w:after="0" w:line="259" w:lineRule="auto"/>
              <w:ind w:left="0" w:firstLine="0"/>
              <w:jc w:val="left"/>
            </w:pPr>
          </w:p>
        </w:tc>
        <w:tc>
          <w:tcPr>
            <w:tcW w:w="3269" w:type="dxa"/>
            <w:tcBorders>
              <w:top w:val="nil"/>
              <w:left w:val="nil"/>
              <w:bottom w:val="single" w:sz="6" w:space="0" w:color="000000"/>
              <w:right w:val="nil"/>
            </w:tcBorders>
          </w:tcPr>
          <w:p w:rsidR="009760E6" w:rsidRDefault="009760E6" w:rsidP="009760E6">
            <w:pPr>
              <w:spacing w:after="0" w:line="259" w:lineRule="auto"/>
              <w:ind w:left="0" w:firstLine="0"/>
              <w:jc w:val="left"/>
            </w:pPr>
          </w:p>
        </w:tc>
        <w:tc>
          <w:tcPr>
            <w:tcW w:w="3630" w:type="dxa"/>
            <w:tcBorders>
              <w:top w:val="nil"/>
              <w:left w:val="nil"/>
              <w:bottom w:val="single" w:sz="6" w:space="0" w:color="000000"/>
              <w:right w:val="single" w:sz="6" w:space="0" w:color="000000"/>
            </w:tcBorders>
          </w:tcPr>
          <w:p w:rsidR="009760E6" w:rsidRDefault="009760E6" w:rsidP="009760E6">
            <w:pPr>
              <w:spacing w:after="0" w:line="259" w:lineRule="auto"/>
              <w:ind w:left="0" w:firstLine="0"/>
              <w:jc w:val="left"/>
            </w:pPr>
            <w:r>
              <w:t>Prof. Dr. Ertuğrul AHMETLİOĞLU</w:t>
            </w:r>
          </w:p>
          <w:p w:rsidR="009760E6" w:rsidRDefault="009760E6" w:rsidP="009760E6">
            <w:pPr>
              <w:spacing w:after="0" w:line="259" w:lineRule="auto"/>
              <w:ind w:left="0" w:firstLine="0"/>
              <w:jc w:val="left"/>
            </w:pPr>
            <w:r>
              <w:t xml:space="preserve">                           Müdür V. </w:t>
            </w:r>
          </w:p>
        </w:tc>
      </w:tr>
    </w:tbl>
    <w:p w:rsidR="00E14290" w:rsidRDefault="00E14290" w:rsidP="006B392A">
      <w:pPr>
        <w:spacing w:after="60" w:line="259" w:lineRule="auto"/>
        <w:ind w:left="127"/>
        <w:jc w:val="left"/>
      </w:pPr>
    </w:p>
    <w:sectPr w:rsidR="00E14290">
      <w:pgSz w:w="11911" w:h="16841"/>
      <w:pgMar w:top="146" w:right="963" w:bottom="498"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92D01"/>
    <w:multiLevelType w:val="hybridMultilevel"/>
    <w:tmpl w:val="54A49560"/>
    <w:lvl w:ilvl="0" w:tplc="233C1404">
      <w:start w:val="2"/>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60684">
      <w:start w:val="1"/>
      <w:numFmt w:val="lowerLetter"/>
      <w:lvlText w:val="%2"/>
      <w:lvlJc w:val="left"/>
      <w:pPr>
        <w:ind w:left="1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6A7B7E">
      <w:start w:val="1"/>
      <w:numFmt w:val="lowerRoman"/>
      <w:lvlText w:val="%3"/>
      <w:lvlJc w:val="left"/>
      <w:pPr>
        <w:ind w:left="2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50C98E">
      <w:start w:val="1"/>
      <w:numFmt w:val="decimal"/>
      <w:lvlText w:val="%4"/>
      <w:lvlJc w:val="left"/>
      <w:pPr>
        <w:ind w:left="2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2C0984">
      <w:start w:val="1"/>
      <w:numFmt w:val="lowerLetter"/>
      <w:lvlText w:val="%5"/>
      <w:lvlJc w:val="left"/>
      <w:pPr>
        <w:ind w:left="3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2A98FC">
      <w:start w:val="1"/>
      <w:numFmt w:val="lowerRoman"/>
      <w:lvlText w:val="%6"/>
      <w:lvlJc w:val="left"/>
      <w:pPr>
        <w:ind w:left="4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9811B4">
      <w:start w:val="1"/>
      <w:numFmt w:val="decimal"/>
      <w:lvlText w:val="%7"/>
      <w:lvlJc w:val="left"/>
      <w:pPr>
        <w:ind w:left="4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A644F6">
      <w:start w:val="1"/>
      <w:numFmt w:val="lowerLetter"/>
      <w:lvlText w:val="%8"/>
      <w:lvlJc w:val="left"/>
      <w:pPr>
        <w:ind w:left="5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10B20E">
      <w:start w:val="1"/>
      <w:numFmt w:val="lowerRoman"/>
      <w:lvlText w:val="%9"/>
      <w:lvlJc w:val="left"/>
      <w:pPr>
        <w:ind w:left="6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90"/>
    <w:rsid w:val="00091F76"/>
    <w:rsid w:val="001F1E91"/>
    <w:rsid w:val="00240DEF"/>
    <w:rsid w:val="00282E62"/>
    <w:rsid w:val="00431AE2"/>
    <w:rsid w:val="00654581"/>
    <w:rsid w:val="006B392A"/>
    <w:rsid w:val="008D2952"/>
    <w:rsid w:val="009760E6"/>
    <w:rsid w:val="00A0324B"/>
    <w:rsid w:val="00A5419C"/>
    <w:rsid w:val="00B07F5D"/>
    <w:rsid w:val="00CC30A4"/>
    <w:rsid w:val="00E14290"/>
    <w:rsid w:val="00EC758B"/>
    <w:rsid w:val="00EE0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9B531-C77D-4097-8E29-DA0A5DF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66" w:lineRule="auto"/>
      <w:ind w:left="243"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0"/>
      <w:ind w:left="2891"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82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E6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658</Words>
  <Characters>3754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Revizyon Takip Tablosu</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Revizyon Takip Tablosu</dc:title>
  <dc:creator>www.contrastegitim.com</dc:creator>
  <cp:lastModifiedBy>DELL</cp:lastModifiedBy>
  <cp:revision>11</cp:revision>
  <dcterms:created xsi:type="dcterms:W3CDTF">2022-01-26T14:45:00Z</dcterms:created>
  <dcterms:modified xsi:type="dcterms:W3CDTF">2023-05-05T08:15:00Z</dcterms:modified>
</cp:coreProperties>
</file>